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690"/>
        <w:gridCol w:w="2948"/>
      </w:tblGrid>
      <w:tr>
        <w:tc>
          <w:tcPr>
            <w:tcW w:type="dxa" w:w="5099"/>
            <w:tcMar>
              <w:top w:w="100" w:type="dxa"/>
              <w:start w:w="120" w:type="dxa"/>
              <w:bottom w:w="100" w:type="dxa"/>
              <w:end w:w="120" w:type="dxa"/>
            </w:tcMar>
            <w:shd w:fill="D9EAF7"/>
          </w:tcPr>
          <w:p>
            <w:pPr>
              <w:spacing w:after="20"/>
            </w:pPr>
            <w:r>
              <w:rPr>
                <w:rFonts w:ascii="Arial" w:hAnsi="Arial"/>
                <w:b/>
                <w:color w:val="1F4E79"/>
                <w:sz w:val="26"/>
              </w:rPr>
              <w:t>СЕТЕВОЕ ИЗДАНИЕ «ТВ ЗАКОННОСТЬ»</w:t>
            </w:r>
          </w:p>
          <w:p>
            <w:pPr>
              <w:pStyle w:val="Smallnote"/>
            </w:pPr>
            <w:r>
              <w:t>Регистрационный номер СМИ: Эл № ФС77-91309 от 16 апреля 2026 года</w:t>
            </w:r>
          </w:p>
          <w:p>
            <w:pPr>
              <w:pStyle w:val="Smallnote"/>
            </w:pPr>
            <w:r>
              <w:t>125502, г. Москва, ул. Лавочкина, д. 52, кв. 169</w:t>
            </w:r>
          </w:p>
        </w:tc>
        <w:tc>
          <w:tcPr>
            <w:tcW w:type="dxa" w:w="5099"/>
            <w:tcMar>
              <w:top w:w="100" w:type="dxa"/>
              <w:start w:w="120" w:type="dxa"/>
              <w:bottom w:w="100" w:type="dxa"/>
              <w:end w:w="120" w:type="dxa"/>
            </w:tcMar>
            <w:shd w:fill="1F4E79"/>
          </w:tcPr>
          <w:p>
            <w:pPr>
              <w:jc w:val="center"/>
            </w:pPr>
            <w:r>
              <w:rPr>
                <w:rFonts w:ascii="Arial" w:hAnsi="Arial"/>
                <w:b/>
                <w:color w:val="FFFFFF"/>
                <w:sz w:val="30"/>
              </w:rPr>
              <w:t>ТВ</w:t>
              <w:br/>
              <w:t>ЗАКОННОСТЬ</w:t>
            </w:r>
          </w:p>
        </w:tc>
      </w:tr>
    </w:tbl>
    <w:p>
      <w:pPr>
        <w:pStyle w:val="Title"/>
        <w:jc w:val="center"/>
      </w:pPr>
      <w:r>
        <w:t>РЕДАКЦИОННОЕ ЗАДАНИЕ</w:t>
      </w:r>
    </w:p>
    <w:p>
      <w:pPr>
        <w:spacing w:after="0"/>
      </w:pPr>
    </w:p>
    <w:p>
      <w:pPr>
        <w:jc w:val="right"/>
      </w:pPr>
      <w:r>
        <w:t>№ ________     от «____» ____________ 20___ г.</w:t>
      </w:r>
    </w:p>
    <w:p>
      <w:pPr>
        <w:spacing w:after="80"/>
      </w:pPr>
      <w:r>
        <w:rPr>
          <w:b/>
        </w:rPr>
        <w:t xml:space="preserve">Корреспонденту: </w:t>
      </w:r>
      <w:r>
        <w:t>__________________________________________________________</w:t>
      </w:r>
    </w:p>
    <w:p>
      <w:pPr>
        <w:pStyle w:val="Smallnote"/>
        <w:jc w:val="center"/>
      </w:pPr>
      <w:r>
        <w:t>(фамилия, имя, отчество; номер и дата выдачи редакционного удостоверения)</w:t>
      </w:r>
    </w:p>
    <w:p>
      <w:pPr>
        <w:spacing w:after="80"/>
      </w:pPr>
      <w:r>
        <w:rPr>
          <w:b/>
        </w:rPr>
        <w:t xml:space="preserve">Срок выполнения задания: </w:t>
      </w:r>
      <w:r>
        <w:t>________________________________________________</w:t>
      </w:r>
    </w:p>
    <w:p>
      <w:pPr>
        <w:spacing w:after="80"/>
      </w:pPr>
      <w:r>
        <w:rPr>
          <w:b/>
        </w:rPr>
        <w:t xml:space="preserve">Территория выполнения задания: </w:t>
      </w:r>
      <w:r>
        <w:t>___________________________________________</w:t>
      </w:r>
    </w:p>
    <w:p>
      <w:pPr>
        <w:pStyle w:val="Heading1"/>
        <w:keepNext/>
      </w:pPr>
      <w:r>
        <w:t>1. Предмет редакционного задания</w:t>
      </w:r>
    </w:p>
    <w:p>
      <w:r>
        <w:t>Редакция поручает корреспонденту самостоятельно либо по дополнительным поручениям редакции осуществлять поиск, проверку, сбор, анализ и освещение общественно значимой информации, готовить журналистские материалы, в том числе новости, статьи, интервью, репортажи, фото-, аудио- и видеоматериалы, а также проводить журналистские расследования в пределах законодательства Российской Федерации и настоящего задания.</w:t>
      </w:r>
    </w:p>
    <w:p>
      <w:pPr>
        <w:pStyle w:val="Heading1"/>
        <w:keepNext/>
      </w:pPr>
      <w:r>
        <w:t>2. Тематические направления</w:t>
      </w:r>
    </w:p>
    <w:p>
      <w:pPr>
        <w:pStyle w:val="ListBullet"/>
        <w:ind w:left="369" w:hanging="170"/>
      </w:pPr>
      <w:r>
        <w:t>защита прав и свобод граждан и законных интересов организаций;</w:t>
      </w:r>
    </w:p>
    <w:p>
      <w:pPr>
        <w:pStyle w:val="ListBullet"/>
        <w:ind w:left="369" w:hanging="170"/>
      </w:pPr>
      <w:r>
        <w:t>деятельность судов, правоохранительных и надзорных органов;</w:t>
      </w:r>
    </w:p>
    <w:p>
      <w:pPr>
        <w:pStyle w:val="ListBullet"/>
        <w:ind w:left="369" w:hanging="170"/>
      </w:pPr>
      <w:r>
        <w:t>правовые вопросы и правоприменительная практика;</w:t>
      </w:r>
    </w:p>
    <w:p>
      <w:pPr>
        <w:pStyle w:val="ListBullet"/>
        <w:ind w:left="369" w:hanging="170"/>
      </w:pPr>
      <w:r>
        <w:t>противодействие коррупции и общественный контроль;</w:t>
      </w:r>
    </w:p>
    <w:p>
      <w:pPr>
        <w:pStyle w:val="ListBullet"/>
        <w:ind w:left="369" w:hanging="170"/>
      </w:pPr>
      <w:r>
        <w:t>защита прав потребителей, качество и безопасность товаров и услуг;</w:t>
      </w:r>
    </w:p>
    <w:p>
      <w:pPr>
        <w:pStyle w:val="ListBullet"/>
        <w:ind w:left="369" w:hanging="170"/>
      </w:pPr>
      <w:r>
        <w:t>жилищно-коммунальное хозяйство, городская среда и экология;</w:t>
      </w:r>
    </w:p>
    <w:p>
      <w:pPr>
        <w:pStyle w:val="ListBullet"/>
        <w:ind w:left="369" w:hanging="170"/>
      </w:pPr>
      <w:r>
        <w:t>деятельность органов государственной власти и местного самоуправления;</w:t>
      </w:r>
    </w:p>
    <w:p>
      <w:pPr>
        <w:pStyle w:val="ListBullet"/>
        <w:ind w:left="369" w:hanging="170"/>
      </w:pPr>
      <w:r>
        <w:t>чрезвычайные происшествия и иные общественно значимые события;</w:t>
      </w:r>
    </w:p>
    <w:p>
      <w:pPr>
        <w:pStyle w:val="ListBullet"/>
        <w:ind w:left="369" w:hanging="170"/>
      </w:pPr>
      <w:r>
        <w:t>иные темы, согласованные с редакцией.</w:t>
      </w:r>
    </w:p>
    <w:p>
      <w:pPr>
        <w:pStyle w:val="Heading1"/>
        <w:keepNext/>
      </w:pPr>
      <w:r>
        <w:t>3. Права корреспондента при выполнении задания</w:t>
      </w:r>
    </w:p>
    <w:p>
      <w:pPr>
        <w:pStyle w:val="ListBullet"/>
        <w:ind w:left="369" w:hanging="170"/>
      </w:pPr>
      <w:r>
        <w:t>искать, запрашивать, получать и распространять информацию законными способами;</w:t>
      </w:r>
    </w:p>
    <w:p>
      <w:pPr>
        <w:pStyle w:val="ListBullet"/>
        <w:ind w:left="369" w:hanging="170"/>
      </w:pPr>
      <w:r>
        <w:t>обращаться в государственные органы, органы местного самоуправления, организации и к должностным лицам за информацией и комментариями;</w:t>
      </w:r>
    </w:p>
    <w:p>
      <w:pPr>
        <w:pStyle w:val="ListBullet"/>
        <w:ind w:left="369" w:hanging="170"/>
      </w:pPr>
      <w:r>
        <w:t>посещать открытые мероприятия и присутствовать в открытых судебных заседаниях с учетом установленного порядка;</w:t>
      </w:r>
    </w:p>
    <w:p>
      <w:pPr>
        <w:pStyle w:val="ListBullet"/>
        <w:ind w:left="369" w:hanging="170"/>
      </w:pPr>
      <w:r>
        <w:t>производить фото-, аудио- и видеозапись в случаях и порядке, допускаемых законодательством и правилами соответствующего объекта или мероприятия;</w:t>
      </w:r>
    </w:p>
    <w:p>
      <w:pPr>
        <w:pStyle w:val="ListBullet"/>
        <w:ind w:left="369" w:hanging="170"/>
      </w:pPr>
      <w:r>
        <w:t>предъявлять редакционное удостоверение и настоящее задание для подтверждения связи с редакцией;</w:t>
      </w:r>
    </w:p>
    <w:p>
      <w:pPr>
        <w:pStyle w:val="ListBullet"/>
        <w:ind w:left="369" w:hanging="170"/>
      </w:pPr>
      <w:r>
        <w:t>обращаться в редакцию за юридической, организационной и методической поддержкой.</w:t>
      </w:r>
    </w:p>
    <w:p>
      <w:pPr>
        <w:pStyle w:val="Heading1"/>
        <w:keepNext/>
      </w:pPr>
      <w:r>
        <w:t>4. Обязанности корреспондента</w:t>
      </w:r>
    </w:p>
    <w:p>
      <w:pPr>
        <w:pStyle w:val="ListBullet"/>
        <w:ind w:left="369" w:hanging="170"/>
      </w:pPr>
      <w:r>
        <w:t>проверять достоверность сообщаемой информации и по возможности получать позицию лиц, которых затрагивает публикация;</w:t>
      </w:r>
    </w:p>
    <w:p>
      <w:pPr>
        <w:pStyle w:val="ListBullet"/>
        <w:ind w:left="369" w:hanging="170"/>
      </w:pPr>
      <w:r>
        <w:t>отделять сообщения о фактах от мнений, предположений и оценочных суждений;</w:t>
      </w:r>
    </w:p>
    <w:p>
      <w:pPr>
        <w:pStyle w:val="ListBullet"/>
        <w:ind w:left="369" w:hanging="170"/>
      </w:pPr>
      <w:r>
        <w:t>соблюдать презумпцию невиновности, права на частную жизнь, честь, достоинство, деловую репутацию и изображение гражданина;</w:t>
      </w:r>
    </w:p>
    <w:p>
      <w:pPr>
        <w:pStyle w:val="ListBullet"/>
        <w:ind w:left="369" w:hanging="170"/>
      </w:pPr>
      <w:r>
        <w:t>соблюдать требования о персональных данных, государственной и иной охраняемой законом тайне, защите детей от вредной информации, авторских и смежных правах;</w:t>
      </w:r>
    </w:p>
    <w:p>
      <w:pPr>
        <w:pStyle w:val="ListBullet"/>
        <w:ind w:left="369" w:hanging="170"/>
      </w:pPr>
      <w:r>
        <w:t>не допускать незаконных призывов, разглашения запрещенной информации и иных нарушений законодательства;</w:t>
      </w:r>
    </w:p>
    <w:p>
      <w:pPr>
        <w:pStyle w:val="ListBullet"/>
        <w:ind w:left="369" w:hanging="170"/>
      </w:pPr>
      <w:r>
        <w:t>не использовать статус журналиста, удостоверение и редакционное задание в личных, коммерческих или иных целях, не связанных с работой редакции;</w:t>
      </w:r>
    </w:p>
    <w:p>
      <w:pPr>
        <w:pStyle w:val="ListBullet"/>
        <w:ind w:left="369" w:hanging="170"/>
      </w:pPr>
      <w:r>
        <w:t>оперативно уведомлять редакцию о конфликтных, опасных или юридически неоднозначных ситуациях;</w:t>
      </w:r>
    </w:p>
    <w:p>
      <w:pPr>
        <w:pStyle w:val="ListBullet"/>
        <w:ind w:left="369" w:hanging="170"/>
      </w:pPr>
      <w:r>
        <w:t>передавать материалы и исходные данные редакции в согласованные сроки и хранить подтверждения полученной информации.</w:t>
      </w:r>
    </w:p>
    <w:p>
      <w:pPr>
        <w:pStyle w:val="Heading1"/>
        <w:keepNext/>
      </w:pPr>
      <w:r>
        <w:t>5. Порядок взаимодействия с редакцией</w:t>
      </w:r>
    </w:p>
    <w:p>
      <w:r>
        <w:t>Материалы направляются по адресу электронной почты union-zakon2025@mail.ru либо иным согласованным способом. Публикация, существенная редактура, использование имени редакции в обращениях и публичных заявлениях осуществляются по согласованию с главным редактором или уполномоченным им лицом.</w:t>
      </w:r>
    </w:p>
    <w:p>
      <w:pPr>
        <w:pStyle w:val="Heading1"/>
        <w:keepNext/>
      </w:pPr>
      <w:r>
        <w:t>6. Правовые основания</w:t>
      </w:r>
    </w:p>
    <w:p>
      <w:r>
        <w:t>При выполнении задания корреспондент руководствуется Конституцией Российской Федерации, Законом Российской Федерации от 27.12.1991 № 2124-1 «О средствах массовой информации», иными применимыми нормативными правовыми актами и Перечнем нормативных правовых актов и правовых ориентиров (Приложение № 1), являющимся неотъемлемой частью настоящего задания.</w:t>
      </w:r>
    </w:p>
    <w:p>
      <w:pPr>
        <w:pStyle w:val="Heading1"/>
        <w:keepNext/>
      </w:pPr>
      <w:r>
        <w:t>7. Срок действия и отзыв</w:t>
      </w:r>
    </w:p>
    <w:p>
      <w:r>
        <w:t>Настоящее задание действует в течение указанного в нем срока, но не более одного года со дня выдачи, если иной срок прямо не установлен редакцией. Редакция вправе отозвать задание досрочно. После прекращения действия задания корреспондент обязан прекратить его использование и по требованию вернуть оригинал редакции.</w:t>
      </w:r>
    </w:p>
    <w:p/>
    <w:tbl>
      <w:tblPr>
        <w:tblW w:type="auto" w:w="0"/>
        <w:jc w:val="center"/>
        <w:tblLayout w:type="fixed"/>
        <w:tblLook w:firstColumn="1" w:firstRow="1" w:lastColumn="0" w:lastRow="0" w:noHBand="0" w:noVBand="1" w:val="04A0"/>
      </w:tblPr>
      <w:tblGrid>
        <w:gridCol w:w="4932"/>
        <w:gridCol w:w="4649"/>
      </w:tblGrid>
      <w:tr>
        <w:tc>
          <w:tcPr>
            <w:tcW w:type="dxa" w:w="5099"/>
            <w:tcMar>
              <w:top w:w="80" w:type="dxa"/>
              <w:start w:w="100" w:type="dxa"/>
              <w:bottom w:w="80" w:type="dxa"/>
              <w:end w:w="100" w:type="dxa"/>
            </w:tcMar>
            <w:vAlign w:val="center"/>
          </w:tcPr>
          <w:p>
            <w:r>
              <w:t>Главный редактор</w:t>
            </w:r>
          </w:p>
        </w:tc>
        <w:tc>
          <w:tcPr>
            <w:tcW w:type="dxa" w:w="5099"/>
            <w:tcMar>
              <w:top w:w="80" w:type="dxa"/>
              <w:start w:w="100" w:type="dxa"/>
              <w:bottom w:w="80" w:type="dxa"/>
              <w:end w:w="100" w:type="dxa"/>
            </w:tcMar>
            <w:vAlign w:val="center"/>
          </w:tcPr>
          <w:p>
            <w:r>
              <w:t>Пылыпина Татьяна Васильевна</w:t>
            </w:r>
          </w:p>
        </w:tc>
      </w:tr>
      <w:tr>
        <w:tc>
          <w:tcPr>
            <w:tcW w:type="dxa" w:w="5099"/>
            <w:tcMar>
              <w:top w:w="80" w:type="dxa"/>
              <w:start w:w="100" w:type="dxa"/>
              <w:bottom w:w="80" w:type="dxa"/>
              <w:end w:w="100" w:type="dxa"/>
            </w:tcMar>
            <w:vAlign w:val="center"/>
          </w:tcPr>
          <w:p>
            <w:r>
              <w:t>Подпись</w:t>
            </w:r>
          </w:p>
        </w:tc>
        <w:tc>
          <w:tcPr>
            <w:tcW w:type="dxa" w:w="5099"/>
            <w:tcMar>
              <w:top w:w="80" w:type="dxa"/>
              <w:start w:w="100" w:type="dxa"/>
              <w:bottom w:w="80" w:type="dxa"/>
              <w:end w:w="100" w:type="dxa"/>
            </w:tcMar>
            <w:vAlign w:val="center"/>
          </w:tcPr>
          <w:p>
            <w:r>
              <w:t>____________________________</w:t>
            </w:r>
          </w:p>
        </w:tc>
      </w:tr>
      <w:tr>
        <w:tc>
          <w:tcPr>
            <w:tcW w:type="dxa" w:w="5099"/>
            <w:tcMar>
              <w:top w:w="80" w:type="dxa"/>
              <w:start w:w="100" w:type="dxa"/>
              <w:bottom w:w="80" w:type="dxa"/>
              <w:end w:w="100" w:type="dxa"/>
            </w:tcMar>
            <w:vAlign w:val="center"/>
          </w:tcPr>
          <w:p>
            <w:r>
              <w:t>Дата</w:t>
            </w:r>
          </w:p>
        </w:tc>
        <w:tc>
          <w:tcPr>
            <w:tcW w:type="dxa" w:w="5099"/>
            <w:tcMar>
              <w:top w:w="80" w:type="dxa"/>
              <w:start w:w="100" w:type="dxa"/>
              <w:bottom w:w="80" w:type="dxa"/>
              <w:end w:w="100" w:type="dxa"/>
            </w:tcMar>
            <w:vAlign w:val="center"/>
          </w:tcPr>
          <w:p>
            <w:r>
              <w:t>«____» ____________ 20___ г.</w:t>
            </w:r>
          </w:p>
        </w:tc>
      </w:tr>
      <w:tr>
        <w:tc>
          <w:tcPr>
            <w:tcW w:type="dxa" w:w="5099"/>
            <w:tcMar>
              <w:top w:w="80" w:type="dxa"/>
              <w:start w:w="100" w:type="dxa"/>
              <w:bottom w:w="80" w:type="dxa"/>
              <w:end w:w="100" w:type="dxa"/>
            </w:tcMar>
            <w:vAlign w:val="center"/>
          </w:tcPr>
          <w:p>
            <w:r>
              <w:t>М.П.</w:t>
            </w:r>
          </w:p>
        </w:tc>
        <w:tc>
          <w:tcPr>
            <w:tcW w:type="dxa" w:w="5099"/>
            <w:tcMar>
              <w:top w:w="80" w:type="dxa"/>
              <w:start w:w="100" w:type="dxa"/>
              <w:bottom w:w="80" w:type="dxa"/>
              <w:end w:w="100" w:type="dxa"/>
            </w:tcMar>
            <w:vAlign w:val="center"/>
          </w:tcPr>
          <w:p>
            <w:r/>
          </w:p>
        </w:tc>
      </w:tr>
    </w:tbl>
    <w:p>
      <w:pPr>
        <w:pStyle w:val="Smallnote"/>
        <w:jc w:val="center"/>
      </w:pPr>
      <w:r>
        <w:t>Контакты редакции: +7 (495) 971-31-24; +7 (901) 547-81-24; union-zakon2025@mail.ru</w:t>
      </w:r>
    </w:p>
    <w:p>
      <w:r>
        <w:br w:type="page"/>
      </w:r>
    </w:p>
    <w:tbl>
      <w:tblPr>
        <w:tblW w:type="auto" w:w="0"/>
        <w:jc w:val="center"/>
        <w:tblLayout w:type="fixed"/>
        <w:tblLook w:firstColumn="1" w:firstRow="1" w:lastColumn="0" w:lastRow="0" w:noHBand="0" w:noVBand="1" w:val="04A0"/>
      </w:tblPr>
      <w:tblGrid>
        <w:gridCol w:w="6690"/>
        <w:gridCol w:w="2948"/>
      </w:tblGrid>
      <w:tr>
        <w:tc>
          <w:tcPr>
            <w:tcW w:type="dxa" w:w="5099"/>
            <w:tcMar>
              <w:top w:w="100" w:type="dxa"/>
              <w:start w:w="120" w:type="dxa"/>
              <w:bottom w:w="100" w:type="dxa"/>
              <w:end w:w="120" w:type="dxa"/>
            </w:tcMar>
            <w:shd w:fill="D9EAF7"/>
          </w:tcPr>
          <w:p>
            <w:pPr>
              <w:spacing w:after="20"/>
            </w:pPr>
            <w:r>
              <w:rPr>
                <w:rFonts w:ascii="Arial" w:hAnsi="Arial"/>
                <w:b/>
                <w:color w:val="1F4E79"/>
                <w:sz w:val="26"/>
              </w:rPr>
              <w:t>СЕТЕВОЕ ИЗДАНИЕ «ТВ ЗАКОННОСТЬ»</w:t>
            </w:r>
          </w:p>
          <w:p>
            <w:pPr>
              <w:pStyle w:val="Smallnote"/>
            </w:pPr>
            <w:r>
              <w:t>Регистрационный номер СМИ: Эл № ФС77-91309 от 16 апреля 2026 года</w:t>
            </w:r>
          </w:p>
          <w:p>
            <w:pPr>
              <w:pStyle w:val="Smallnote"/>
            </w:pPr>
            <w:r>
              <w:t>125502, г. Москва, ул. Лавочкина, д. 52, кв. 169</w:t>
            </w:r>
          </w:p>
        </w:tc>
        <w:tc>
          <w:tcPr>
            <w:tcW w:type="dxa" w:w="5099"/>
            <w:tcMar>
              <w:top w:w="100" w:type="dxa"/>
              <w:start w:w="120" w:type="dxa"/>
              <w:bottom w:w="100" w:type="dxa"/>
              <w:end w:w="120" w:type="dxa"/>
            </w:tcMar>
            <w:shd w:fill="1F4E79"/>
          </w:tcPr>
          <w:p>
            <w:pPr>
              <w:jc w:val="center"/>
            </w:pPr>
            <w:r>
              <w:rPr>
                <w:rFonts w:ascii="Arial" w:hAnsi="Arial"/>
                <w:b/>
                <w:color w:val="FFFFFF"/>
                <w:sz w:val="30"/>
              </w:rPr>
              <w:t>ТВ</w:t>
              <w:br/>
              <w:t>ЗАКОННОСТЬ</w:t>
            </w:r>
          </w:p>
        </w:tc>
      </w:tr>
    </w:tbl>
    <w:p>
      <w:pPr>
        <w:pStyle w:val="Title"/>
        <w:jc w:val="center"/>
      </w:pPr>
      <w:r>
        <w:t>ПРИЛОЖЕНИЕ № 1</w:t>
      </w:r>
    </w:p>
    <w:p>
      <w:pPr>
        <w:spacing w:after="0"/>
      </w:pPr>
    </w:p>
    <w:p>
      <w:pPr>
        <w:pStyle w:val="Smallnote"/>
        <w:jc w:val="right"/>
      </w:pPr>
      <w:r>
        <w:t>к редакционному заданию № ________ от «____» ____________ 20___ г.</w:t>
      </w:r>
    </w:p>
    <w:p>
      <w:pPr>
        <w:pStyle w:val="Heading1"/>
        <w:jc w:val="center"/>
      </w:pPr>
      <w:r>
        <w:t>ПЕРЕЧЕНЬ НОРМАТИВНЫХ ПРАВОВЫХ АКТОВ И ПРАВОВЫХ ОРИЕНТИРОВ</w:t>
      </w:r>
    </w:p>
    <w:p>
      <w:r>
        <w:t>Перечень носит справочный характер и применяется в действующих редакциях соответствующих актов. При изменении законодательства корреспондент обязан руководствоваться актуальной редакцией нормативного правового акта.</w:t>
      </w:r>
    </w:p>
    <w:p>
      <w:pPr>
        <w:pStyle w:val="Heading2"/>
        <w:keepNext/>
      </w:pPr>
      <w:r>
        <w:t>1. Основы деятельности СМИ и свободы информации</w:t>
      </w:r>
    </w:p>
    <w:p>
      <w:pPr>
        <w:pStyle w:val="ListBullet"/>
        <w:ind w:left="369" w:hanging="170"/>
      </w:pPr>
      <w:r>
        <w:t>Конституция Российской Федерации (в частности, статьи 23, 24, 29, 46, 55).</w:t>
      </w:r>
    </w:p>
    <w:p>
      <w:pPr>
        <w:pStyle w:val="ListBullet"/>
        <w:ind w:left="369" w:hanging="170"/>
      </w:pPr>
      <w:r>
        <w:t>Закон Российской Федерации от 27.12.1991 № 2124-1 «О средствах массовой информации».</w:t>
      </w:r>
    </w:p>
    <w:p>
      <w:pPr>
        <w:pStyle w:val="ListBullet"/>
        <w:ind w:left="369" w:hanging="170"/>
      </w:pPr>
      <w:r>
        <w:t>Федеральный закон от 27.07.2006 № 149-ФЗ «Об информации, информационных технологиях и о защите информации».</w:t>
      </w:r>
    </w:p>
    <w:p>
      <w:pPr>
        <w:pStyle w:val="ListBullet"/>
        <w:ind w:left="369" w:hanging="170"/>
      </w:pPr>
      <w:r>
        <w:t>Постановление Пленума Верховного Суда Российской Федерации от 15.06.2010 № 16 «О практике применения судами Закона Российской Федерации “О средствах массовой информации”» - в действующей части.</w:t>
      </w:r>
    </w:p>
    <w:p>
      <w:pPr>
        <w:pStyle w:val="Heading2"/>
        <w:keepNext/>
      </w:pPr>
      <w:r>
        <w:t>2. Доступ к информации и работа с органами публичной власти</w:t>
      </w:r>
    </w:p>
    <w:p>
      <w:pPr>
        <w:pStyle w:val="ListBullet"/>
        <w:ind w:left="369" w:hanging="170"/>
      </w:pPr>
      <w:r>
        <w:t>Федеральный закон от 09.02.2009 № 8-ФЗ «Об обеспечении доступа к информации о деятельности государственных органов и органов местного самоуправления».</w:t>
      </w:r>
    </w:p>
    <w:p>
      <w:pPr>
        <w:pStyle w:val="ListBullet"/>
        <w:ind w:left="369" w:hanging="170"/>
      </w:pPr>
      <w:r>
        <w:t>Федеральный закон от 22.12.2008 № 262-ФЗ «Об обеспечении доступа к информации о деятельности судов в Российской Федерации».</w:t>
      </w:r>
    </w:p>
    <w:p>
      <w:pPr>
        <w:pStyle w:val="ListBullet"/>
        <w:ind w:left="369" w:hanging="170"/>
      </w:pPr>
      <w:r>
        <w:t>Федеральный закон от 02.05.2006 № 59-ФЗ «О порядке рассмотрения обращений граждан Российской Федерации» - когда обращение подается в порядке, предусмотренном этим законом.</w:t>
      </w:r>
    </w:p>
    <w:p>
      <w:pPr>
        <w:pStyle w:val="ListBullet"/>
        <w:ind w:left="369" w:hanging="170"/>
      </w:pPr>
      <w:r>
        <w:t>Федеральный закон от 07.02.2011 № 3-ФЗ «О полиции».</w:t>
      </w:r>
    </w:p>
    <w:p>
      <w:pPr>
        <w:pStyle w:val="ListBullet"/>
        <w:ind w:left="369" w:hanging="170"/>
      </w:pPr>
      <w:r>
        <w:t>Закон Российской Федерации от 17.01.1992 № 2202-1 «О прокуратуре Российской Федерации».</w:t>
      </w:r>
    </w:p>
    <w:p>
      <w:pPr>
        <w:pStyle w:val="ListBullet"/>
        <w:ind w:left="369" w:hanging="170"/>
      </w:pPr>
      <w:r>
        <w:t>Федеральный закон от 28.12.2010 № 403-ФЗ «О Следственном комитете Российской Федерации».</w:t>
      </w:r>
    </w:p>
    <w:p>
      <w:pPr>
        <w:pStyle w:val="Heading2"/>
        <w:keepNext/>
      </w:pPr>
      <w:r>
        <w:t>3. Защита личности, персональных данных и репутации</w:t>
      </w:r>
    </w:p>
    <w:p>
      <w:pPr>
        <w:pStyle w:val="ListBullet"/>
        <w:ind w:left="369" w:hanging="170"/>
      </w:pPr>
      <w:r>
        <w:t>Гражданский кодекс Российской Федерации: статьи 150-152.2, 152.1 и часть четвертая об авторских и смежных правах.</w:t>
      </w:r>
    </w:p>
    <w:p>
      <w:pPr>
        <w:pStyle w:val="ListBullet"/>
        <w:ind w:left="369" w:hanging="170"/>
      </w:pPr>
      <w:r>
        <w:t>Федеральный закон от 27.07.2006 № 152-ФЗ «О персональных данных».</w:t>
      </w:r>
    </w:p>
    <w:p>
      <w:pPr>
        <w:pStyle w:val="ListBullet"/>
        <w:ind w:left="369" w:hanging="170"/>
      </w:pPr>
      <w:r>
        <w:t>Федеральный закон от 27.07.2006 № 149-ФЗ - в части ограничений доступа и распространения информации.</w:t>
      </w:r>
    </w:p>
    <w:p>
      <w:pPr>
        <w:pStyle w:val="ListBullet"/>
        <w:ind w:left="369" w:hanging="170"/>
      </w:pPr>
      <w:r>
        <w:t>Уголовно-процессуальный кодекс Российской Федерации и Кодекс Российской Федерации об административных правонарушениях - в части открытости процессов, запретов разглашения и ответственности.</w:t>
      </w:r>
    </w:p>
    <w:p>
      <w:pPr>
        <w:pStyle w:val="Heading2"/>
        <w:keepNext/>
      </w:pPr>
      <w:r>
        <w:t>4. Ограничения распространения информации</w:t>
      </w:r>
    </w:p>
    <w:p>
      <w:pPr>
        <w:pStyle w:val="ListBullet"/>
        <w:ind w:left="369" w:hanging="170"/>
      </w:pPr>
      <w:r>
        <w:t>Закон Российской Федерации от 21.07.1993 № 5485-1 «О государственной тайне».</w:t>
      </w:r>
    </w:p>
    <w:p>
      <w:pPr>
        <w:pStyle w:val="ListBullet"/>
        <w:ind w:left="369" w:hanging="170"/>
      </w:pPr>
      <w:r>
        <w:t>Федеральный закон от 25.07.2002 № 114-ФЗ «О противодействии экстремистской деятельности».</w:t>
      </w:r>
    </w:p>
    <w:p>
      <w:pPr>
        <w:pStyle w:val="ListBullet"/>
        <w:ind w:left="369" w:hanging="170"/>
      </w:pPr>
      <w:r>
        <w:t>Федеральный закон от 06.03.2006 № 35-ФЗ «О противодействии терроризму».</w:t>
      </w:r>
    </w:p>
    <w:p>
      <w:pPr>
        <w:pStyle w:val="ListBullet"/>
        <w:ind w:left="369" w:hanging="170"/>
      </w:pPr>
      <w:r>
        <w:t>Федеральный закон от 29.12.2010 № 436-ФЗ «О защите детей от информации, причиняющей вред их здоровью и развитию».</w:t>
      </w:r>
    </w:p>
    <w:p>
      <w:pPr>
        <w:pStyle w:val="ListBullet"/>
        <w:ind w:left="369" w:hanging="170"/>
      </w:pPr>
      <w:r>
        <w:t>Федеральный закон от 13.03.2006 № 38-ФЗ «О рекламе».</w:t>
      </w:r>
    </w:p>
    <w:p>
      <w:pPr>
        <w:pStyle w:val="ListBullet"/>
        <w:ind w:left="369" w:hanging="170"/>
      </w:pPr>
      <w:r>
        <w:t>Иные специальные ограничения, предусмотренные уголовным, административным, избирательным и иным законодательством Российской Федерации.</w:t>
      </w:r>
    </w:p>
    <w:p>
      <w:pPr>
        <w:pStyle w:val="Heading2"/>
        <w:keepNext/>
      </w:pPr>
      <w:r>
        <w:t>5. Противодействие коррупции и общественный контроль</w:t>
      </w:r>
    </w:p>
    <w:p>
      <w:pPr>
        <w:pStyle w:val="ListBullet"/>
        <w:ind w:left="369" w:hanging="170"/>
      </w:pPr>
      <w:r>
        <w:t>Федеральный закон от 25.12.2008 № 273-ФЗ «О противодействии коррупции».</w:t>
      </w:r>
    </w:p>
    <w:p>
      <w:pPr>
        <w:pStyle w:val="ListBullet"/>
        <w:ind w:left="369" w:hanging="170"/>
      </w:pPr>
      <w:r>
        <w:t>Федеральный закон от 21.07.2014 № 212-ФЗ «Об основах общественного контроля в Российской Федерации».</w:t>
      </w:r>
    </w:p>
    <w:p>
      <w:pPr>
        <w:pStyle w:val="ListBullet"/>
        <w:ind w:left="369" w:hanging="170"/>
      </w:pPr>
      <w:r>
        <w:t>Указ Президента Российской Федерации от 02.07.2021 № 400 «О Стратегии национальной безопасности Российской Федерации».</w:t>
      </w:r>
    </w:p>
    <w:p>
      <w:pPr>
        <w:pStyle w:val="Heading2"/>
        <w:keepNext/>
      </w:pPr>
      <w:r>
        <w:t>6. Защита прав потребителей и безопасность продукции</w:t>
      </w:r>
    </w:p>
    <w:p>
      <w:pPr>
        <w:pStyle w:val="ListBullet"/>
        <w:ind w:left="369" w:hanging="170"/>
      </w:pPr>
      <w:r>
        <w:t>Закон Российской Федерации от 07.02.1992 № 2300-1 «О защите прав потребителей».</w:t>
      </w:r>
    </w:p>
    <w:p>
      <w:pPr>
        <w:pStyle w:val="ListBullet"/>
        <w:ind w:left="369" w:hanging="170"/>
      </w:pPr>
      <w:r>
        <w:t>Федеральный закон от 02.01.2000 № 29-ФЗ «О качестве и безопасности пищевых продуктов».</w:t>
      </w:r>
    </w:p>
    <w:p>
      <w:pPr>
        <w:pStyle w:val="ListBullet"/>
        <w:ind w:left="369" w:hanging="170"/>
      </w:pPr>
      <w:r>
        <w:t>Технический регламент Таможенного союза ТР ТС 021/2011 «О безопасности пищевой продукции».</w:t>
      </w:r>
    </w:p>
    <w:p>
      <w:pPr>
        <w:pStyle w:val="ListBullet"/>
        <w:ind w:left="369" w:hanging="170"/>
      </w:pPr>
      <w:r>
        <w:t>Технический регламент Таможенного союза ТР ТС 022/2011 «Пищевая продукция в части ее маркировки».</w:t>
      </w:r>
    </w:p>
    <w:p>
      <w:pPr>
        <w:pStyle w:val="ListBullet"/>
        <w:ind w:left="369" w:hanging="170"/>
      </w:pPr>
      <w:r>
        <w:t>Технический регламент Таможенного союза ТР ТС 033/2013 «О безопасности молока и молочной продукции».</w:t>
      </w:r>
    </w:p>
    <w:p>
      <w:pPr>
        <w:pStyle w:val="ListBullet"/>
        <w:ind w:left="369" w:hanging="170"/>
      </w:pPr>
      <w:r>
        <w:t>Санитарные правила СП 2.3.6.3668-20 «Санитарно-эпидемиологические требования к условиям деятельности торговых объектов и рынков, реализующих пищевую продукцию» - в действующей редакции.</w:t>
      </w:r>
    </w:p>
    <w:p>
      <w:pPr>
        <w:pStyle w:val="ListBullet"/>
        <w:ind w:left="369" w:hanging="170"/>
      </w:pPr>
      <w:r>
        <w:t>СанПиН 2.3/2.4.3590-20 «Санитарно-эпидемиологические требования к организации общественного питания населения» - в действующей редакции.</w:t>
      </w:r>
    </w:p>
    <w:p>
      <w:pPr>
        <w:pStyle w:val="ListBullet"/>
        <w:ind w:left="369" w:hanging="170"/>
      </w:pPr>
      <w:r>
        <w:t>Указ Президента Российской Федерации от 21.01.2020 № 20 «Об утверждении Доктрины продовольственной безопасности Российской Федерации» с последующими изменениями.</w:t>
      </w:r>
    </w:p>
    <w:p>
      <w:pPr>
        <w:pStyle w:val="Heading2"/>
        <w:keepNext/>
      </w:pPr>
      <w:r>
        <w:t>7. Международные правовые ориентиры</w:t>
      </w:r>
    </w:p>
    <w:p>
      <w:pPr>
        <w:pStyle w:val="ListBullet"/>
        <w:ind w:left="369" w:hanging="170"/>
      </w:pPr>
      <w:r>
        <w:t>Всеобщая декларация прав человека от 10.12.1948.</w:t>
      </w:r>
    </w:p>
    <w:p>
      <w:pPr>
        <w:pStyle w:val="ListBullet"/>
        <w:ind w:left="369" w:hanging="170"/>
      </w:pPr>
      <w:r>
        <w:t>Международный пакт о гражданских и политических правах от 16.12.1966.</w:t>
      </w:r>
    </w:p>
    <w:p>
      <w:pPr>
        <w:pStyle w:val="ListBullet"/>
        <w:ind w:left="369" w:hanging="170"/>
      </w:pPr>
      <w:r>
        <w:t>Руководящие принципы Организации Объединенных Наций для защиты интересов потребителей в редакции резолюции Генеральной Ассамблеи ООН 70/186 от 22.12.2015.</w:t>
      </w:r>
    </w:p>
    <w:p>
      <w:pPr>
        <w:pStyle w:val="Smallnote"/>
      </w:pPr>
      <w:r>
        <w:t>Примечание. Настоящий перечень не заменяет юридическую консультацию и не освобождает корреспондента и редакцию от проверки актуальности и применимости конкретной нормы к обстоятельствам публикации.</w:t>
      </w:r>
    </w:p>
    <w:sectPr w:rsidR="00FC693F" w:rsidRPr="0006063C" w:rsidSect="00034616">
      <w:footerReference w:type="default" r:id="rId9"/>
      <w:pgSz w:w="12240" w:h="15840"/>
      <w:pgMar w:top="907" w:right="907"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eastAsia="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eastAsia="Arial"/>
      <w:b/>
      <w:bCs/>
      <w:color w:val="17365D"/>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eastAsia="Arial"/>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rial" w:hAnsi="Arial" w:eastAsia="Arial"/>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A5A5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